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DF0EC0" w:rsidRDefault="0004341B" w:rsidP="00A00519">
      <w:pPr>
        <w:spacing w:line="480" w:lineRule="auto"/>
        <w:jc w:val="center"/>
        <w:rPr>
          <w:rFonts w:ascii="Times New Roman" w:hAnsi="Times New Roman" w:cs="Times New Roman"/>
          <w:sz w:val="24"/>
          <w:szCs w:val="24"/>
        </w:rPr>
      </w:pPr>
      <w:r w:rsidRPr="00442D98">
        <w:rPr>
          <w:rFonts w:ascii="Times New Roman" w:hAnsi="Times New Roman" w:cs="Times New Roman"/>
          <w:sz w:val="24"/>
          <w:szCs w:val="24"/>
        </w:rPr>
        <w:t>Los Angeles Department of State Hospitals Budget</w:t>
      </w:r>
    </w:p>
    <w:p w:rsidR="00872EF7" w:rsidRDefault="00872EF7" w:rsidP="00A005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72EF7" w:rsidRDefault="00872EF7" w:rsidP="00A005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2EF7" w:rsidRDefault="00872EF7" w:rsidP="00A005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title </w:t>
      </w:r>
    </w:p>
    <w:p w:rsidR="00872EF7" w:rsidRDefault="00872EF7" w:rsidP="00A005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Default="00872EF7" w:rsidP="00A00519">
      <w:pPr>
        <w:spacing w:line="480" w:lineRule="auto"/>
        <w:jc w:val="center"/>
        <w:rPr>
          <w:rFonts w:ascii="Times New Roman" w:hAnsi="Times New Roman" w:cs="Times New Roman"/>
          <w:sz w:val="24"/>
          <w:szCs w:val="24"/>
        </w:rPr>
      </w:pPr>
    </w:p>
    <w:p w:rsidR="00872EF7" w:rsidRPr="00442D98" w:rsidRDefault="00872EF7" w:rsidP="00A00519">
      <w:pPr>
        <w:spacing w:line="480" w:lineRule="auto"/>
        <w:jc w:val="center"/>
        <w:rPr>
          <w:rFonts w:ascii="Times New Roman" w:hAnsi="Times New Roman" w:cs="Times New Roman"/>
          <w:sz w:val="24"/>
          <w:szCs w:val="24"/>
        </w:rPr>
      </w:pPr>
    </w:p>
    <w:p w:rsidR="00B23E2A" w:rsidRDefault="00E557C7" w:rsidP="00B23E2A">
      <w:pPr>
        <w:spacing w:line="480" w:lineRule="auto"/>
        <w:ind w:firstLine="720"/>
        <w:jc w:val="both"/>
        <w:rPr>
          <w:rFonts w:ascii="Times New Roman" w:hAnsi="Times New Roman" w:cs="Times New Roman"/>
          <w:sz w:val="24"/>
          <w:szCs w:val="24"/>
        </w:rPr>
      </w:pPr>
      <w:r w:rsidRPr="00442D98">
        <w:rPr>
          <w:rFonts w:ascii="Times New Roman" w:hAnsi="Times New Roman" w:cs="Times New Roman"/>
          <w:sz w:val="24"/>
          <w:szCs w:val="24"/>
        </w:rPr>
        <w:lastRenderedPageBreak/>
        <w:t xml:space="preserve">The department offers inpatient and outpatient mental health services for civil and forensic commitments. These services are available at five hospitals: Coalinga, Napa, Patton, Atascadero and Metropolitan- Los Angeles. The department is also responsible </w:t>
      </w:r>
      <w:r w:rsidR="00442D98" w:rsidRPr="00442D98">
        <w:rPr>
          <w:rFonts w:ascii="Times New Roman" w:hAnsi="Times New Roman" w:cs="Times New Roman"/>
          <w:sz w:val="24"/>
          <w:szCs w:val="24"/>
        </w:rPr>
        <w:t>for provision of inpatient health services in other additional locations throughout the state</w:t>
      </w:r>
      <w:r w:rsidR="00442D98">
        <w:rPr>
          <w:rFonts w:ascii="Times New Roman" w:hAnsi="Times New Roman" w:cs="Times New Roman"/>
          <w:sz w:val="24"/>
          <w:szCs w:val="24"/>
        </w:rPr>
        <w:t xml:space="preserve">, such as county jails. Which it does in collaboration with counties. The department also provides outpatients services to patients from within the community. </w:t>
      </w:r>
      <w:r w:rsidR="00442D98" w:rsidRPr="00442D98">
        <w:rPr>
          <w:rFonts w:ascii="Times New Roman" w:hAnsi="Times New Roman" w:cs="Times New Roman"/>
          <w:sz w:val="24"/>
          <w:szCs w:val="24"/>
        </w:rPr>
        <w:t xml:space="preserve"> </w:t>
      </w:r>
      <w:r w:rsidR="00442D98">
        <w:rPr>
          <w:rFonts w:ascii="Times New Roman" w:hAnsi="Times New Roman" w:cs="Times New Roman"/>
          <w:sz w:val="24"/>
          <w:szCs w:val="24"/>
        </w:rPr>
        <w:t>its budget for 2019-2020 included, resources for providing inpatient health services to more than 6000 people within the state hospitals and another 400 pe</w:t>
      </w:r>
      <w:r w:rsidR="00A00519">
        <w:rPr>
          <w:rFonts w:ascii="Times New Roman" w:hAnsi="Times New Roman" w:cs="Times New Roman"/>
          <w:sz w:val="24"/>
          <w:szCs w:val="24"/>
        </w:rPr>
        <w:t>ople in the contracted programs, as well as 700 more people who received outpatient services</w:t>
      </w:r>
      <w:r w:rsidR="004A0716">
        <w:rPr>
          <w:rFonts w:ascii="Times New Roman" w:hAnsi="Times New Roman" w:cs="Times New Roman"/>
          <w:sz w:val="24"/>
          <w:szCs w:val="24"/>
        </w:rPr>
        <w:t xml:space="preserve"> </w:t>
      </w:r>
      <w:r w:rsidR="004A0716" w:rsidRPr="004A0716">
        <w:rPr>
          <w:rFonts w:ascii="Times New Roman" w:hAnsi="Times New Roman" w:cs="Times New Roman"/>
          <w:sz w:val="24"/>
          <w:szCs w:val="24"/>
        </w:rPr>
        <w:t>("The 2020-21 Budget: Analysis of the Department of State Hospitals Budget", 2021)</w:t>
      </w:r>
      <w:r w:rsidR="00A00519">
        <w:rPr>
          <w:rFonts w:ascii="Times New Roman" w:hAnsi="Times New Roman" w:cs="Times New Roman"/>
          <w:sz w:val="24"/>
          <w:szCs w:val="24"/>
        </w:rPr>
        <w:t>. Patients under these programs have been categorized into two; forensic commitment and civil commitments. The civil commitments often get referred to state hospitals by counties. Forensic commitments on the other hand are from the criminal justice system and are often classified into categories such as ‘not guilty by reason of insanity’, sexually violent predators, incompetent to stand trial and mentally disordered offenders. As at now, majority of the population of patients are of the forensic nature</w:t>
      </w:r>
      <w:r w:rsidR="004A0716">
        <w:rPr>
          <w:rFonts w:ascii="Times New Roman" w:hAnsi="Times New Roman" w:cs="Times New Roman"/>
          <w:sz w:val="24"/>
          <w:szCs w:val="24"/>
        </w:rPr>
        <w:t xml:space="preserve"> (Ochoa, et al., 2020)</w:t>
      </w:r>
      <w:r w:rsidR="00A00519">
        <w:rPr>
          <w:rFonts w:ascii="Times New Roman" w:hAnsi="Times New Roman" w:cs="Times New Roman"/>
          <w:sz w:val="24"/>
          <w:szCs w:val="24"/>
        </w:rPr>
        <w:t xml:space="preserve">. </w:t>
      </w:r>
    </w:p>
    <w:p w:rsidR="00A00519" w:rsidRDefault="00B23E2A" w:rsidP="00B23E2A">
      <w:pPr>
        <w:spacing w:line="480" w:lineRule="auto"/>
        <w:ind w:firstLine="720"/>
        <w:jc w:val="both"/>
        <w:rPr>
          <w:rFonts w:ascii="Times New Roman" w:eastAsia="Times New Roman" w:hAnsi="Times New Roman" w:cs="Times New Roman"/>
          <w:color w:val="333333"/>
          <w:sz w:val="24"/>
          <w:szCs w:val="24"/>
        </w:rPr>
      </w:pPr>
      <w:r w:rsidRPr="00B23E2A">
        <w:rPr>
          <w:rFonts w:ascii="Times New Roman" w:eastAsia="Times New Roman" w:hAnsi="Times New Roman" w:cs="Times New Roman"/>
          <w:color w:val="333333"/>
          <w:sz w:val="24"/>
          <w:szCs w:val="24"/>
        </w:rPr>
        <w:t>The governor’s budget for 2020-221 proposes a</w:t>
      </w:r>
      <w:r>
        <w:rPr>
          <w:rFonts w:ascii="Times New Roman" w:eastAsia="Times New Roman" w:hAnsi="Times New Roman" w:cs="Times New Roman"/>
          <w:color w:val="333333"/>
          <w:sz w:val="24"/>
          <w:szCs w:val="24"/>
        </w:rPr>
        <w:t>n expenditure of 2.3 billion dollars that should come from the General Fund, for operations of the department of State Hospitals. This is an increase in the budget allocation from the previous year by 232 million dollars</w:t>
      </w:r>
      <w:r w:rsidR="004A0716">
        <w:rPr>
          <w:rFonts w:ascii="Times New Roman" w:eastAsia="Times New Roman" w:hAnsi="Times New Roman" w:cs="Times New Roman"/>
          <w:color w:val="333333"/>
          <w:sz w:val="24"/>
          <w:szCs w:val="24"/>
        </w:rPr>
        <w:t xml:space="preserve"> </w:t>
      </w:r>
      <w:r w:rsidR="004A0716" w:rsidRPr="004A0716">
        <w:rPr>
          <w:rFonts w:ascii="Times New Roman" w:eastAsia="Times New Roman" w:hAnsi="Times New Roman" w:cs="Times New Roman"/>
          <w:color w:val="333333"/>
          <w:sz w:val="24"/>
          <w:szCs w:val="24"/>
        </w:rPr>
        <w:t>("The 2020-21 Budget: Analysis of the Department of State Hospitals Budget", 2021)</w:t>
      </w:r>
      <w:r>
        <w:rPr>
          <w:rFonts w:ascii="Times New Roman" w:eastAsia="Times New Roman" w:hAnsi="Times New Roman" w:cs="Times New Roman"/>
          <w:color w:val="333333"/>
          <w:sz w:val="24"/>
          <w:szCs w:val="24"/>
        </w:rPr>
        <w:t xml:space="preserve">. The increase in the budget comes due to the addition of several proposals. One of such proposals is a pilot program for the reduction in the number of Incompetent to Stand Trial cases as well as referrals to the state hospital. Staffing adjustments have also been made in the department’s clinical staffing study. </w:t>
      </w:r>
    </w:p>
    <w:p w:rsidR="00B23E2A" w:rsidRDefault="00B23E2A"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 xml:space="preserve">The allocations provide for the new budget are as a reflection of trends that have been observed over the previous year. For example, it was realized in the previous year that the funds allocated for the incompetent to stand trial were overstretched, due to an increase in the number of such cases. It was therefore vital for them to allocate more money for this venture to ensure that operations dealing with IST do not get paralyzed. The staffing issue has been coming up every few years, a trend that is almost automatic for any institution. This often happens when there are more people to be catered for, meaning that the department needs more staff to cater for the service which the people need. The issue of budget allocation for staff should often be added every few years to allow for hiring of new staff that help to keep up with the growing demands. </w:t>
      </w:r>
    </w:p>
    <w:p w:rsidR="00B23E2A" w:rsidRDefault="00B23E2A"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One thing that I would do </w:t>
      </w:r>
      <w:r w:rsidR="00317BC9">
        <w:rPr>
          <w:rFonts w:ascii="Times New Roman" w:eastAsia="Times New Roman" w:hAnsi="Times New Roman" w:cs="Times New Roman"/>
          <w:color w:val="333333"/>
          <w:sz w:val="24"/>
          <w:szCs w:val="24"/>
        </w:rPr>
        <w:t>different</w:t>
      </w:r>
      <w:r>
        <w:rPr>
          <w:rFonts w:ascii="Times New Roman" w:eastAsia="Times New Roman" w:hAnsi="Times New Roman" w:cs="Times New Roman"/>
          <w:color w:val="333333"/>
          <w:sz w:val="24"/>
          <w:szCs w:val="24"/>
        </w:rPr>
        <w:t xml:space="preserve"> is to finds ways though which the </w:t>
      </w:r>
      <w:r w:rsidR="00317BC9">
        <w:rPr>
          <w:rFonts w:ascii="Times New Roman" w:eastAsia="Times New Roman" w:hAnsi="Times New Roman" w:cs="Times New Roman"/>
          <w:color w:val="333333"/>
          <w:sz w:val="24"/>
          <w:szCs w:val="24"/>
        </w:rPr>
        <w:t>general</w:t>
      </w:r>
      <w:r>
        <w:rPr>
          <w:rFonts w:ascii="Times New Roman" w:eastAsia="Times New Roman" w:hAnsi="Times New Roman" w:cs="Times New Roman"/>
          <w:color w:val="333333"/>
          <w:sz w:val="24"/>
          <w:szCs w:val="24"/>
        </w:rPr>
        <w:t xml:space="preserve"> public is also able to benefit </w:t>
      </w:r>
      <w:r w:rsidR="00317BC9">
        <w:rPr>
          <w:rFonts w:ascii="Times New Roman" w:eastAsia="Times New Roman" w:hAnsi="Times New Roman" w:cs="Times New Roman"/>
          <w:color w:val="333333"/>
          <w:sz w:val="24"/>
          <w:szCs w:val="24"/>
        </w:rPr>
        <w:t>from</w:t>
      </w:r>
      <w:r>
        <w:rPr>
          <w:rFonts w:ascii="Times New Roman" w:eastAsia="Times New Roman" w:hAnsi="Times New Roman" w:cs="Times New Roman"/>
          <w:color w:val="333333"/>
          <w:sz w:val="24"/>
          <w:szCs w:val="24"/>
        </w:rPr>
        <w:t xml:space="preserve"> inpatient services. As the situation is </w:t>
      </w:r>
      <w:r w:rsidR="00317BC9">
        <w:rPr>
          <w:rFonts w:ascii="Times New Roman" w:eastAsia="Times New Roman" w:hAnsi="Times New Roman" w:cs="Times New Roman"/>
          <w:color w:val="333333"/>
          <w:sz w:val="24"/>
          <w:szCs w:val="24"/>
        </w:rPr>
        <w:t>currently</w:t>
      </w:r>
      <w:r>
        <w:rPr>
          <w:rFonts w:ascii="Times New Roman" w:eastAsia="Times New Roman" w:hAnsi="Times New Roman" w:cs="Times New Roman"/>
          <w:color w:val="333333"/>
          <w:sz w:val="24"/>
          <w:szCs w:val="24"/>
        </w:rPr>
        <w:t xml:space="preserve">, the inpatient service </w:t>
      </w:r>
      <w:r w:rsidR="00317BC9">
        <w:rPr>
          <w:rFonts w:ascii="Times New Roman" w:eastAsia="Times New Roman" w:hAnsi="Times New Roman" w:cs="Times New Roman"/>
          <w:color w:val="333333"/>
          <w:sz w:val="24"/>
          <w:szCs w:val="24"/>
        </w:rPr>
        <w:t>is</w:t>
      </w:r>
      <w:r>
        <w:rPr>
          <w:rFonts w:ascii="Times New Roman" w:eastAsia="Times New Roman" w:hAnsi="Times New Roman" w:cs="Times New Roman"/>
          <w:color w:val="333333"/>
          <w:sz w:val="24"/>
          <w:szCs w:val="24"/>
        </w:rPr>
        <w:t xml:space="preserve"> </w:t>
      </w:r>
      <w:r w:rsidR="00317BC9">
        <w:rPr>
          <w:rFonts w:ascii="Times New Roman" w:eastAsia="Times New Roman" w:hAnsi="Times New Roman" w:cs="Times New Roman"/>
          <w:color w:val="333333"/>
          <w:sz w:val="24"/>
          <w:szCs w:val="24"/>
        </w:rPr>
        <w:t>only</w:t>
      </w:r>
      <w:r>
        <w:rPr>
          <w:rFonts w:ascii="Times New Roman" w:eastAsia="Times New Roman" w:hAnsi="Times New Roman" w:cs="Times New Roman"/>
          <w:color w:val="333333"/>
          <w:sz w:val="24"/>
          <w:szCs w:val="24"/>
        </w:rPr>
        <w:t xml:space="preserve"> available for institutions such as jails, </w:t>
      </w:r>
      <w:r w:rsidR="00317BC9">
        <w:rPr>
          <w:rFonts w:ascii="Times New Roman" w:eastAsia="Times New Roman" w:hAnsi="Times New Roman" w:cs="Times New Roman"/>
          <w:color w:val="333333"/>
          <w:sz w:val="24"/>
          <w:szCs w:val="24"/>
        </w:rPr>
        <w:t>while</w:t>
      </w:r>
      <w:r>
        <w:rPr>
          <w:rFonts w:ascii="Times New Roman" w:eastAsia="Times New Roman" w:hAnsi="Times New Roman" w:cs="Times New Roman"/>
          <w:color w:val="333333"/>
          <w:sz w:val="24"/>
          <w:szCs w:val="24"/>
        </w:rPr>
        <w:t xml:space="preserve"> the local community is only able to get </w:t>
      </w:r>
      <w:r w:rsidR="00317BC9">
        <w:rPr>
          <w:rFonts w:ascii="Times New Roman" w:eastAsia="Times New Roman" w:hAnsi="Times New Roman" w:cs="Times New Roman"/>
          <w:color w:val="333333"/>
          <w:sz w:val="24"/>
          <w:szCs w:val="24"/>
        </w:rPr>
        <w:t>outpatient</w:t>
      </w:r>
      <w:r>
        <w:rPr>
          <w:rFonts w:ascii="Times New Roman" w:eastAsia="Times New Roman" w:hAnsi="Times New Roman" w:cs="Times New Roman"/>
          <w:color w:val="333333"/>
          <w:sz w:val="24"/>
          <w:szCs w:val="24"/>
        </w:rPr>
        <w:t xml:space="preserve"> </w:t>
      </w:r>
      <w:r w:rsidR="00317BC9">
        <w:rPr>
          <w:rFonts w:ascii="Times New Roman" w:eastAsia="Times New Roman" w:hAnsi="Times New Roman" w:cs="Times New Roman"/>
          <w:color w:val="333333"/>
          <w:sz w:val="24"/>
          <w:szCs w:val="24"/>
        </w:rPr>
        <w:t>services</w:t>
      </w:r>
      <w:r>
        <w:rPr>
          <w:rFonts w:ascii="Times New Roman" w:eastAsia="Times New Roman" w:hAnsi="Times New Roman" w:cs="Times New Roman"/>
          <w:color w:val="333333"/>
          <w:sz w:val="24"/>
          <w:szCs w:val="24"/>
        </w:rPr>
        <w:t>. This means that to some extent, the community does not get all their medical issues sorted and some may have to</w:t>
      </w:r>
      <w:r w:rsidR="00317BC9">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seek medical </w:t>
      </w:r>
      <w:r w:rsidR="00317BC9">
        <w:rPr>
          <w:rFonts w:ascii="Times New Roman" w:eastAsia="Times New Roman" w:hAnsi="Times New Roman" w:cs="Times New Roman"/>
          <w:color w:val="333333"/>
          <w:sz w:val="24"/>
          <w:szCs w:val="24"/>
        </w:rPr>
        <w:t>services</w:t>
      </w:r>
      <w:r>
        <w:rPr>
          <w:rFonts w:ascii="Times New Roman" w:eastAsia="Times New Roman" w:hAnsi="Times New Roman" w:cs="Times New Roman"/>
          <w:color w:val="333333"/>
          <w:sz w:val="24"/>
          <w:szCs w:val="24"/>
        </w:rPr>
        <w:t xml:space="preserve"> from other areas. </w:t>
      </w:r>
    </w:p>
    <w:p w:rsidR="00317BC9" w:rsidRDefault="00B23E2A"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w:t>
      </w:r>
      <w:r w:rsidR="00317BC9">
        <w:rPr>
          <w:rFonts w:ascii="Times New Roman" w:eastAsia="Times New Roman" w:hAnsi="Times New Roman" w:cs="Times New Roman"/>
          <w:color w:val="333333"/>
          <w:sz w:val="24"/>
          <w:szCs w:val="24"/>
        </w:rPr>
        <w:t>issue</w:t>
      </w:r>
      <w:r>
        <w:rPr>
          <w:rFonts w:ascii="Times New Roman" w:eastAsia="Times New Roman" w:hAnsi="Times New Roman" w:cs="Times New Roman"/>
          <w:color w:val="333333"/>
          <w:sz w:val="24"/>
          <w:szCs w:val="24"/>
        </w:rPr>
        <w:t xml:space="preserve"> of mental health is one that is becoming a big concern for this generation. </w:t>
      </w:r>
      <w:r w:rsidR="00317BC9">
        <w:rPr>
          <w:rFonts w:ascii="Times New Roman" w:eastAsia="Times New Roman" w:hAnsi="Times New Roman" w:cs="Times New Roman"/>
          <w:color w:val="333333"/>
          <w:sz w:val="24"/>
          <w:szCs w:val="24"/>
        </w:rPr>
        <w:t>Therefore,</w:t>
      </w:r>
      <w:r>
        <w:rPr>
          <w:rFonts w:ascii="Times New Roman" w:eastAsia="Times New Roman" w:hAnsi="Times New Roman" w:cs="Times New Roman"/>
          <w:color w:val="333333"/>
          <w:sz w:val="24"/>
          <w:szCs w:val="24"/>
        </w:rPr>
        <w:t xml:space="preserve"> rather </w:t>
      </w:r>
      <w:r w:rsidR="00317BC9">
        <w:rPr>
          <w:rFonts w:ascii="Times New Roman" w:eastAsia="Times New Roman" w:hAnsi="Times New Roman" w:cs="Times New Roman"/>
          <w:color w:val="333333"/>
          <w:sz w:val="24"/>
          <w:szCs w:val="24"/>
        </w:rPr>
        <w:t>than</w:t>
      </w:r>
      <w:r>
        <w:rPr>
          <w:rFonts w:ascii="Times New Roman" w:eastAsia="Times New Roman" w:hAnsi="Times New Roman" w:cs="Times New Roman"/>
          <w:color w:val="333333"/>
          <w:sz w:val="24"/>
          <w:szCs w:val="24"/>
        </w:rPr>
        <w:t xml:space="preserve"> dealing </w:t>
      </w:r>
      <w:r w:rsidR="00317BC9">
        <w:rPr>
          <w:rFonts w:ascii="Times New Roman" w:eastAsia="Times New Roman" w:hAnsi="Times New Roman" w:cs="Times New Roman"/>
          <w:color w:val="333333"/>
          <w:sz w:val="24"/>
          <w:szCs w:val="24"/>
        </w:rPr>
        <w:t>with</w:t>
      </w:r>
      <w:r>
        <w:rPr>
          <w:rFonts w:ascii="Times New Roman" w:eastAsia="Times New Roman" w:hAnsi="Times New Roman" w:cs="Times New Roman"/>
          <w:color w:val="333333"/>
          <w:sz w:val="24"/>
          <w:szCs w:val="24"/>
        </w:rPr>
        <w:t xml:space="preserve"> cases that have </w:t>
      </w:r>
      <w:r w:rsidR="00317BC9">
        <w:rPr>
          <w:rFonts w:ascii="Times New Roman" w:eastAsia="Times New Roman" w:hAnsi="Times New Roman" w:cs="Times New Roman"/>
          <w:color w:val="333333"/>
          <w:sz w:val="24"/>
          <w:szCs w:val="24"/>
        </w:rPr>
        <w:t>already</w:t>
      </w:r>
      <w:r>
        <w:rPr>
          <w:rFonts w:ascii="Times New Roman" w:eastAsia="Times New Roman" w:hAnsi="Times New Roman" w:cs="Times New Roman"/>
          <w:color w:val="333333"/>
          <w:sz w:val="24"/>
          <w:szCs w:val="24"/>
        </w:rPr>
        <w:t xml:space="preserve"> </w:t>
      </w:r>
      <w:r w:rsidR="00317BC9">
        <w:rPr>
          <w:rFonts w:ascii="Times New Roman" w:eastAsia="Times New Roman" w:hAnsi="Times New Roman" w:cs="Times New Roman"/>
          <w:color w:val="333333"/>
          <w:sz w:val="24"/>
          <w:szCs w:val="24"/>
        </w:rPr>
        <w:t>been seen</w:t>
      </w:r>
      <w:r>
        <w:rPr>
          <w:rFonts w:ascii="Times New Roman" w:eastAsia="Times New Roman" w:hAnsi="Times New Roman" w:cs="Times New Roman"/>
          <w:color w:val="333333"/>
          <w:sz w:val="24"/>
          <w:szCs w:val="24"/>
        </w:rPr>
        <w:t xml:space="preserve">, it would be </w:t>
      </w:r>
      <w:r w:rsidR="00317BC9">
        <w:rPr>
          <w:rFonts w:ascii="Times New Roman" w:eastAsia="Times New Roman" w:hAnsi="Times New Roman" w:cs="Times New Roman"/>
          <w:color w:val="333333"/>
          <w:sz w:val="24"/>
          <w:szCs w:val="24"/>
        </w:rPr>
        <w:t>prudent to</w:t>
      </w:r>
      <w:r>
        <w:rPr>
          <w:rFonts w:ascii="Times New Roman" w:eastAsia="Times New Roman" w:hAnsi="Times New Roman" w:cs="Times New Roman"/>
          <w:color w:val="333333"/>
          <w:sz w:val="24"/>
          <w:szCs w:val="24"/>
        </w:rPr>
        <w:t xml:space="preserve"> come up with preventive measures as well. The department should hire professionals that provide </w:t>
      </w:r>
      <w:r w:rsidR="00317BC9">
        <w:rPr>
          <w:rFonts w:ascii="Times New Roman" w:eastAsia="Times New Roman" w:hAnsi="Times New Roman" w:cs="Times New Roman"/>
          <w:color w:val="333333"/>
          <w:sz w:val="24"/>
          <w:szCs w:val="24"/>
        </w:rPr>
        <w:t>counselling</w:t>
      </w:r>
      <w:r>
        <w:rPr>
          <w:rFonts w:ascii="Times New Roman" w:eastAsia="Times New Roman" w:hAnsi="Times New Roman" w:cs="Times New Roman"/>
          <w:color w:val="333333"/>
          <w:sz w:val="24"/>
          <w:szCs w:val="24"/>
        </w:rPr>
        <w:t xml:space="preserve"> and others </w:t>
      </w:r>
      <w:r w:rsidR="00317BC9">
        <w:rPr>
          <w:rFonts w:ascii="Times New Roman" w:eastAsia="Times New Roman" w:hAnsi="Times New Roman" w:cs="Times New Roman"/>
          <w:color w:val="333333"/>
          <w:sz w:val="24"/>
          <w:szCs w:val="24"/>
        </w:rPr>
        <w:t>services</w:t>
      </w:r>
      <w:r>
        <w:rPr>
          <w:rFonts w:ascii="Times New Roman" w:eastAsia="Times New Roman" w:hAnsi="Times New Roman" w:cs="Times New Roman"/>
          <w:color w:val="333333"/>
          <w:sz w:val="24"/>
          <w:szCs w:val="24"/>
        </w:rPr>
        <w:t xml:space="preserve"> that may help people on the brink of developing mental issues before they sink deep. Dealing with an </w:t>
      </w:r>
      <w:r w:rsidR="00317BC9">
        <w:rPr>
          <w:rFonts w:ascii="Times New Roman" w:eastAsia="Times New Roman" w:hAnsi="Times New Roman" w:cs="Times New Roman"/>
          <w:color w:val="333333"/>
          <w:sz w:val="24"/>
          <w:szCs w:val="24"/>
        </w:rPr>
        <w:t>already</w:t>
      </w:r>
      <w:r>
        <w:rPr>
          <w:rFonts w:ascii="Times New Roman" w:eastAsia="Times New Roman" w:hAnsi="Times New Roman" w:cs="Times New Roman"/>
          <w:color w:val="333333"/>
          <w:sz w:val="24"/>
          <w:szCs w:val="24"/>
        </w:rPr>
        <w:t xml:space="preserve"> developed mental condition is often more cumbersome that providing </w:t>
      </w:r>
      <w:r w:rsidR="00317BC9">
        <w:rPr>
          <w:rFonts w:ascii="Times New Roman" w:eastAsia="Times New Roman" w:hAnsi="Times New Roman" w:cs="Times New Roman"/>
          <w:color w:val="333333"/>
          <w:sz w:val="24"/>
          <w:szCs w:val="24"/>
        </w:rPr>
        <w:t>preventive</w:t>
      </w:r>
      <w:r>
        <w:rPr>
          <w:rFonts w:ascii="Times New Roman" w:eastAsia="Times New Roman" w:hAnsi="Times New Roman" w:cs="Times New Roman"/>
          <w:color w:val="333333"/>
          <w:sz w:val="24"/>
          <w:szCs w:val="24"/>
        </w:rPr>
        <w:t xml:space="preserve"> measures.</w:t>
      </w:r>
    </w:p>
    <w:p w:rsidR="00317BC9" w:rsidRDefault="00317BC9"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 am in agreement with the proposal from the governor regarding provision of mental health services to the general community that may help to reduce felony cases. This is almost similar to the suggestion given above for preventive measures. The department should be aware that their </w:t>
      </w:r>
      <w:r>
        <w:rPr>
          <w:rFonts w:ascii="Times New Roman" w:eastAsia="Times New Roman" w:hAnsi="Times New Roman" w:cs="Times New Roman"/>
          <w:color w:val="333333"/>
          <w:sz w:val="24"/>
          <w:szCs w:val="24"/>
        </w:rPr>
        <w:lastRenderedPageBreak/>
        <w:t xml:space="preserve">interventions do not necessarily have to be directly towards mental health, but can be through other activities and interventions that help mental health directly or indirect. For instance, provision of recreational facilities to the members of the community could help to bring them together and to keep them busy thus reducing their chances of going into crime or taking part in criminal activities. Once the community has been brought together, the department can also organize for occasions where these people meet to talk about the things and issues they may be going through that they feel may affect them mentally, and then together they can come up with solutions that ‘they feel are favorable to them, which may vary from one community to the other, depending on their preferences and the facilities that are available to them. </w:t>
      </w:r>
    </w:p>
    <w:p w:rsidR="00317BC9" w:rsidRDefault="00317BC9"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diversion program for this year’s budget is slightly different from that of the previous years. In the previous year, the diversion program was only about dealing with those that have been arrested for felony charges. The program therefore is majorly about their road to recovery and how they can reclaim a life of no crime. However, in the current budget, efforts have been made for the diversion program to include those that have not yet been involved in criminal activities. </w:t>
      </w:r>
    </w:p>
    <w:p w:rsidR="00317BC9" w:rsidRDefault="00317BC9" w:rsidP="00317BC9">
      <w:pPr>
        <w:spacing w:line="480" w:lineRule="auto"/>
        <w:jc w:val="both"/>
        <w:rPr>
          <w:rFonts w:ascii="Times New Roman" w:eastAsia="Times New Roman" w:hAnsi="Times New Roman" w:cs="Times New Roman"/>
          <w:color w:val="333333"/>
          <w:sz w:val="24"/>
          <w:szCs w:val="24"/>
        </w:rPr>
      </w:pPr>
    </w:p>
    <w:p w:rsidR="00317BC9" w:rsidRDefault="00317BC9" w:rsidP="00317BC9">
      <w:pPr>
        <w:spacing w:line="480" w:lineRule="auto"/>
        <w:jc w:val="both"/>
        <w:rPr>
          <w:rFonts w:ascii="Times New Roman" w:eastAsia="Times New Roman" w:hAnsi="Times New Roman" w:cs="Times New Roman"/>
          <w:color w:val="333333"/>
          <w:sz w:val="24"/>
          <w:szCs w:val="24"/>
        </w:rPr>
      </w:pPr>
    </w:p>
    <w:p w:rsidR="00317BC9" w:rsidRDefault="00317BC9" w:rsidP="00317BC9">
      <w:pPr>
        <w:spacing w:line="480" w:lineRule="auto"/>
        <w:jc w:val="both"/>
        <w:rPr>
          <w:rFonts w:ascii="Times New Roman" w:eastAsia="Times New Roman" w:hAnsi="Times New Roman" w:cs="Times New Roman"/>
          <w:color w:val="333333"/>
          <w:sz w:val="24"/>
          <w:szCs w:val="24"/>
        </w:rPr>
      </w:pPr>
    </w:p>
    <w:p w:rsidR="00317BC9" w:rsidRDefault="00317BC9" w:rsidP="00317BC9">
      <w:pPr>
        <w:spacing w:line="480" w:lineRule="auto"/>
        <w:jc w:val="both"/>
        <w:rPr>
          <w:rFonts w:ascii="Times New Roman" w:eastAsia="Times New Roman" w:hAnsi="Times New Roman" w:cs="Times New Roman"/>
          <w:color w:val="333333"/>
          <w:sz w:val="24"/>
          <w:szCs w:val="24"/>
        </w:rPr>
      </w:pPr>
    </w:p>
    <w:p w:rsidR="00317BC9" w:rsidRDefault="00317BC9" w:rsidP="00317BC9">
      <w:pPr>
        <w:spacing w:line="480" w:lineRule="auto"/>
        <w:jc w:val="both"/>
        <w:rPr>
          <w:rFonts w:ascii="Times New Roman" w:eastAsia="Times New Roman" w:hAnsi="Times New Roman" w:cs="Times New Roman"/>
          <w:color w:val="333333"/>
          <w:sz w:val="24"/>
          <w:szCs w:val="24"/>
        </w:rPr>
      </w:pPr>
    </w:p>
    <w:p w:rsidR="004A0716" w:rsidRDefault="004A0716" w:rsidP="00317BC9">
      <w:pPr>
        <w:spacing w:line="480" w:lineRule="auto"/>
        <w:jc w:val="both"/>
        <w:rPr>
          <w:rFonts w:ascii="Times New Roman" w:eastAsia="Times New Roman" w:hAnsi="Times New Roman" w:cs="Times New Roman"/>
          <w:color w:val="333333"/>
          <w:sz w:val="24"/>
          <w:szCs w:val="24"/>
        </w:rPr>
      </w:pPr>
    </w:p>
    <w:p w:rsidR="00317BC9" w:rsidRDefault="00872EF7" w:rsidP="00872EF7">
      <w:pPr>
        <w:tabs>
          <w:tab w:val="left" w:pos="1095"/>
          <w:tab w:val="center" w:pos="4680"/>
        </w:tabs>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ab/>
      </w:r>
      <w:bookmarkStart w:id="0" w:name="_GoBack"/>
      <w:bookmarkEnd w:id="0"/>
      <w:r>
        <w:rPr>
          <w:rFonts w:ascii="Times New Roman" w:eastAsia="Times New Roman" w:hAnsi="Times New Roman" w:cs="Times New Roman"/>
          <w:color w:val="333333"/>
          <w:sz w:val="24"/>
          <w:szCs w:val="24"/>
        </w:rPr>
        <w:tab/>
      </w:r>
      <w:r w:rsidR="00317BC9">
        <w:rPr>
          <w:rFonts w:ascii="Times New Roman" w:eastAsia="Times New Roman" w:hAnsi="Times New Roman" w:cs="Times New Roman"/>
          <w:color w:val="333333"/>
          <w:sz w:val="24"/>
          <w:szCs w:val="24"/>
        </w:rPr>
        <w:t>References</w:t>
      </w:r>
    </w:p>
    <w:p w:rsidR="00317BC9" w:rsidRDefault="00317BC9" w:rsidP="00872EF7">
      <w:pPr>
        <w:spacing w:line="480" w:lineRule="auto"/>
        <w:ind w:left="720" w:hanging="720"/>
        <w:jc w:val="both"/>
        <w:rPr>
          <w:rFonts w:ascii="Times New Roman" w:eastAsia="Times New Roman" w:hAnsi="Times New Roman" w:cs="Times New Roman"/>
          <w:color w:val="333333"/>
          <w:sz w:val="24"/>
          <w:szCs w:val="24"/>
        </w:rPr>
      </w:pPr>
      <w:r w:rsidRPr="00317BC9">
        <w:rPr>
          <w:rFonts w:ascii="Times New Roman" w:eastAsia="Times New Roman" w:hAnsi="Times New Roman" w:cs="Times New Roman"/>
          <w:color w:val="333333"/>
          <w:sz w:val="24"/>
          <w:szCs w:val="24"/>
        </w:rPr>
        <w:t>Ochoa, K., Appel, O., Nguyen, V., &amp; Kim, E. (2020). Decriminalization in action: lessons from the Los Angeles model. </w:t>
      </w:r>
      <w:r w:rsidRPr="00317BC9">
        <w:rPr>
          <w:rFonts w:ascii="Times New Roman" w:eastAsia="Times New Roman" w:hAnsi="Times New Roman" w:cs="Times New Roman"/>
          <w:i/>
          <w:iCs/>
          <w:color w:val="333333"/>
          <w:sz w:val="24"/>
          <w:szCs w:val="24"/>
        </w:rPr>
        <w:t>CNS spectrums</w:t>
      </w:r>
      <w:r w:rsidRPr="00317BC9">
        <w:rPr>
          <w:rFonts w:ascii="Times New Roman" w:eastAsia="Times New Roman" w:hAnsi="Times New Roman" w:cs="Times New Roman"/>
          <w:color w:val="333333"/>
          <w:sz w:val="24"/>
          <w:szCs w:val="24"/>
        </w:rPr>
        <w:t>, </w:t>
      </w:r>
      <w:r w:rsidRPr="00317BC9">
        <w:rPr>
          <w:rFonts w:ascii="Times New Roman" w:eastAsia="Times New Roman" w:hAnsi="Times New Roman" w:cs="Times New Roman"/>
          <w:i/>
          <w:iCs/>
          <w:color w:val="333333"/>
          <w:sz w:val="24"/>
          <w:szCs w:val="24"/>
        </w:rPr>
        <w:t>25</w:t>
      </w:r>
      <w:r w:rsidRPr="00317BC9">
        <w:rPr>
          <w:rFonts w:ascii="Times New Roman" w:eastAsia="Times New Roman" w:hAnsi="Times New Roman" w:cs="Times New Roman"/>
          <w:color w:val="333333"/>
          <w:sz w:val="24"/>
          <w:szCs w:val="24"/>
        </w:rPr>
        <w:t>(5), 561-565.</w:t>
      </w:r>
    </w:p>
    <w:p w:rsidR="00317BC9" w:rsidRDefault="00317BC9" w:rsidP="00872EF7">
      <w:pPr>
        <w:spacing w:line="480" w:lineRule="auto"/>
        <w:ind w:left="720" w:hanging="720"/>
        <w:jc w:val="both"/>
        <w:rPr>
          <w:rFonts w:ascii="Times New Roman" w:eastAsia="Times New Roman" w:hAnsi="Times New Roman" w:cs="Times New Roman"/>
          <w:color w:val="333333"/>
          <w:sz w:val="24"/>
          <w:szCs w:val="24"/>
        </w:rPr>
      </w:pPr>
      <w:r w:rsidRPr="00317BC9">
        <w:rPr>
          <w:rFonts w:ascii="Times New Roman" w:eastAsia="Times New Roman" w:hAnsi="Times New Roman" w:cs="Times New Roman"/>
          <w:color w:val="333333"/>
          <w:sz w:val="24"/>
          <w:szCs w:val="24"/>
        </w:rPr>
        <w:t>The 2020-21 Budget: Analysis of the Department of State Hospitals Budget. (2021). Retrieved 24 January 2021, from https://lao.ca.gov/Publications/Report/4154</w:t>
      </w:r>
    </w:p>
    <w:p w:rsidR="00B23E2A" w:rsidRDefault="00B23E2A" w:rsidP="00B23E2A">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p>
    <w:p w:rsidR="00B23E2A" w:rsidRPr="00B23E2A" w:rsidRDefault="00B23E2A" w:rsidP="00B23E2A">
      <w:pPr>
        <w:spacing w:line="480" w:lineRule="auto"/>
        <w:ind w:firstLine="720"/>
        <w:jc w:val="both"/>
        <w:rPr>
          <w:rFonts w:ascii="Times New Roman" w:hAnsi="Times New Roman" w:cs="Times New Roman"/>
          <w:sz w:val="24"/>
          <w:szCs w:val="24"/>
        </w:rPr>
      </w:pPr>
    </w:p>
    <w:sectPr w:rsidR="00B23E2A" w:rsidRPr="00B23E2A" w:rsidSect="00872E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8B5" w:rsidRDefault="00E748B5" w:rsidP="00872EF7">
      <w:pPr>
        <w:spacing w:after="0" w:line="240" w:lineRule="auto"/>
      </w:pPr>
      <w:r>
        <w:separator/>
      </w:r>
    </w:p>
  </w:endnote>
  <w:endnote w:type="continuationSeparator" w:id="0">
    <w:p w:rsidR="00E748B5" w:rsidRDefault="00E748B5" w:rsidP="0087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8B5" w:rsidRDefault="00E748B5" w:rsidP="00872EF7">
      <w:pPr>
        <w:spacing w:after="0" w:line="240" w:lineRule="auto"/>
      </w:pPr>
      <w:r>
        <w:separator/>
      </w:r>
    </w:p>
  </w:footnote>
  <w:footnote w:type="continuationSeparator" w:id="0">
    <w:p w:rsidR="00E748B5" w:rsidRDefault="00E748B5" w:rsidP="00872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EF7" w:rsidRPr="00872EF7" w:rsidRDefault="00872EF7" w:rsidP="00872EF7">
    <w:pPr>
      <w:spacing w:line="480" w:lineRule="auto"/>
      <w:rPr>
        <w:rFonts w:ascii="Times New Roman" w:hAnsi="Times New Roman" w:cs="Times New Roman"/>
        <w:sz w:val="24"/>
        <w:szCs w:val="24"/>
      </w:rPr>
    </w:pPr>
    <w:r w:rsidRPr="00442D98">
      <w:rPr>
        <w:rFonts w:ascii="Times New Roman" w:hAnsi="Times New Roman" w:cs="Times New Roman"/>
        <w:sz w:val="24"/>
        <w:szCs w:val="24"/>
      </w:rPr>
      <w:t>LOS ANGELES DEPARTMENT OF STATE HOSPITALS BUDGET</w:t>
    </w:r>
    <w:sdt>
      <w:sdtPr>
        <w:id w:val="108003388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EF7" w:rsidRPr="00872EF7" w:rsidRDefault="00872EF7" w:rsidP="00872EF7">
    <w:pPr>
      <w:spacing w:line="480" w:lineRule="auto"/>
      <w:rPr>
        <w:rFonts w:ascii="Times New Roman" w:hAnsi="Times New Roman" w:cs="Times New Roman"/>
        <w:sz w:val="24"/>
        <w:szCs w:val="24"/>
      </w:rPr>
    </w:pPr>
    <w:r>
      <w:t>Running head:</w:t>
    </w:r>
    <w:r w:rsidRPr="00872EF7">
      <w:rPr>
        <w:rFonts w:ascii="Times New Roman" w:hAnsi="Times New Roman" w:cs="Times New Roman"/>
        <w:sz w:val="24"/>
        <w:szCs w:val="24"/>
      </w:rPr>
      <w:t xml:space="preserve"> </w:t>
    </w:r>
    <w:r w:rsidRPr="00442D98">
      <w:rPr>
        <w:rFonts w:ascii="Times New Roman" w:hAnsi="Times New Roman" w:cs="Times New Roman"/>
        <w:sz w:val="24"/>
        <w:szCs w:val="24"/>
      </w:rPr>
      <w:t>LOS ANGELES DEPARTMENT OF STATE HOSPITALS BUDGET</w:t>
    </w:r>
    <w:sdt>
      <w:sdtPr>
        <w:id w:val="-86776460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1B"/>
    <w:rsid w:val="0004341B"/>
    <w:rsid w:val="00261303"/>
    <w:rsid w:val="00317BC9"/>
    <w:rsid w:val="00442D98"/>
    <w:rsid w:val="004A0716"/>
    <w:rsid w:val="00872EF7"/>
    <w:rsid w:val="00A00519"/>
    <w:rsid w:val="00B23E2A"/>
    <w:rsid w:val="00E557C7"/>
    <w:rsid w:val="00E748B5"/>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E3B48-53A5-4BEC-8532-C5476286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7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57C7"/>
    <w:rPr>
      <w:i/>
      <w:iCs/>
    </w:rPr>
  </w:style>
  <w:style w:type="character" w:customStyle="1" w:styleId="no-break">
    <w:name w:val="no-break"/>
    <w:basedOn w:val="DefaultParagraphFont"/>
    <w:rsid w:val="00E557C7"/>
  </w:style>
  <w:style w:type="paragraph" w:styleId="Header">
    <w:name w:val="header"/>
    <w:basedOn w:val="Normal"/>
    <w:link w:val="HeaderChar"/>
    <w:uiPriority w:val="99"/>
    <w:unhideWhenUsed/>
    <w:rsid w:val="00872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EF7"/>
  </w:style>
  <w:style w:type="paragraph" w:styleId="Footer">
    <w:name w:val="footer"/>
    <w:basedOn w:val="Normal"/>
    <w:link w:val="FooterChar"/>
    <w:uiPriority w:val="99"/>
    <w:unhideWhenUsed/>
    <w:rsid w:val="00872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09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USER</cp:lastModifiedBy>
  <cp:revision>2</cp:revision>
  <dcterms:created xsi:type="dcterms:W3CDTF">2021-01-24T18:35:00Z</dcterms:created>
  <dcterms:modified xsi:type="dcterms:W3CDTF">2021-01-24T18:35:00Z</dcterms:modified>
</cp:coreProperties>
</file>